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704"/>
      </w:tblGrid>
      <w:tr w:rsidR="00A572FA" w:rsidRPr="00A572FA" w:rsidTr="005D5576">
        <w:trPr>
          <w:cantSplit/>
        </w:trPr>
        <w:tc>
          <w:tcPr>
            <w:tcW w:w="4537" w:type="dxa"/>
          </w:tcPr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sz w:val="26"/>
                <w:szCs w:val="24"/>
                <w:lang w:eastAsia="ar-SA"/>
              </w:rPr>
            </w:pPr>
          </w:p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sz w:val="26"/>
                <w:szCs w:val="24"/>
                <w:lang w:eastAsia="ar-SA"/>
              </w:rPr>
            </w:pPr>
          </w:p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/>
                <w:b/>
                <w:sz w:val="26"/>
                <w:szCs w:val="24"/>
                <w:lang w:eastAsia="ar-SA"/>
              </w:rPr>
            </w:pPr>
          </w:p>
        </w:tc>
        <w:tc>
          <w:tcPr>
            <w:tcW w:w="5704" w:type="dxa"/>
          </w:tcPr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ar-SA"/>
              </w:rPr>
            </w:pPr>
            <w:r w:rsidRPr="00A572FA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ar-SA"/>
              </w:rPr>
              <w:t xml:space="preserve">                Принято Советом</w:t>
            </w:r>
          </w:p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ar-SA"/>
              </w:rPr>
            </w:pPr>
            <w:r w:rsidRPr="00A572FA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ar-SA"/>
              </w:rPr>
              <w:t xml:space="preserve">                6 июня 2024 г.</w:t>
            </w:r>
          </w:p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A572FA">
              <w:rPr>
                <w:rFonts w:ascii="Times New Roman" w:eastAsia="MS Mincho" w:hAnsi="Times New Roman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№ 243/оп-</w:t>
            </w:r>
            <w:r>
              <w:rPr>
                <w:rFonts w:ascii="Times New Roman" w:eastAsia="MS Mincho" w:hAnsi="Times New Roman"/>
                <w:b/>
                <w:bCs/>
                <w:spacing w:val="20"/>
                <w:sz w:val="28"/>
                <w:szCs w:val="28"/>
                <w:lang w:eastAsia="ar-SA"/>
              </w:rPr>
              <w:t>8.</w:t>
            </w:r>
            <w:r w:rsidR="00B976E8">
              <w:rPr>
                <w:rFonts w:ascii="Times New Roman" w:eastAsia="MS Mincho" w:hAnsi="Times New Roman"/>
                <w:b/>
                <w:bCs/>
                <w:spacing w:val="20"/>
                <w:sz w:val="28"/>
                <w:szCs w:val="28"/>
                <w:lang w:eastAsia="ar-SA"/>
              </w:rPr>
              <w:t>2</w:t>
            </w:r>
            <w:r w:rsidRPr="00A572FA">
              <w:rPr>
                <w:rFonts w:ascii="Times New Roman" w:eastAsia="MS Mincho" w:hAnsi="Times New Roman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:rsidR="00A572FA" w:rsidRPr="00A572FA" w:rsidRDefault="00A572FA" w:rsidP="00A572FA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/>
                <w:b/>
                <w:sz w:val="26"/>
                <w:szCs w:val="24"/>
                <w:lang w:eastAsia="ar-SA"/>
              </w:rPr>
            </w:pPr>
          </w:p>
        </w:tc>
      </w:tr>
    </w:tbl>
    <w:p w:rsidR="00A572FA" w:rsidRDefault="00A572FA" w:rsidP="00842B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2BB4" w:rsidRDefault="00842BB4" w:rsidP="001B7D70">
      <w:pPr>
        <w:tabs>
          <w:tab w:val="left" w:pos="9214"/>
        </w:tabs>
        <w:spacing w:after="0" w:line="240" w:lineRule="auto"/>
        <w:ind w:right="4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ЭКСПЕРТНОЕ ЗАКЛЮЧЕНИЕ</w:t>
      </w:r>
    </w:p>
    <w:p w:rsidR="00842BB4" w:rsidRDefault="0099301C" w:rsidP="001B7D70">
      <w:pPr>
        <w:pStyle w:val="Style7"/>
        <w:tabs>
          <w:tab w:val="left" w:pos="9214"/>
        </w:tabs>
        <w:spacing w:line="240" w:lineRule="auto"/>
        <w:ind w:right="424"/>
        <w:rPr>
          <w:b/>
          <w:bCs/>
          <w:sz w:val="28"/>
          <w:szCs w:val="28"/>
        </w:rPr>
      </w:pPr>
      <w:r>
        <w:rPr>
          <w:rStyle w:val="FontStyle15"/>
          <w:bCs/>
          <w:sz w:val="28"/>
          <w:szCs w:val="28"/>
        </w:rPr>
        <w:t xml:space="preserve">по проекту федерального закона </w:t>
      </w:r>
      <w:r w:rsidR="00842BB4">
        <w:rPr>
          <w:rStyle w:val="FontStyle15"/>
          <w:bCs/>
          <w:sz w:val="28"/>
          <w:szCs w:val="28"/>
        </w:rPr>
        <w:t>«</w:t>
      </w:r>
      <w:r w:rsidR="00842BB4" w:rsidRPr="00547CCF">
        <w:rPr>
          <w:rStyle w:val="FontStyle15"/>
          <w:bCs/>
          <w:sz w:val="28"/>
          <w:szCs w:val="28"/>
        </w:rPr>
        <w:t>О внесении изменения в статью 1 Федерального закона «Об основах туристской деятельности в Российской Федерации»</w:t>
      </w:r>
    </w:p>
    <w:p w:rsidR="00842BB4" w:rsidRDefault="00842BB4" w:rsidP="001B7D70">
      <w:pPr>
        <w:tabs>
          <w:tab w:val="left" w:pos="9214"/>
        </w:tabs>
        <w:ind w:right="424"/>
      </w:pPr>
    </w:p>
    <w:p w:rsidR="00842BB4" w:rsidRPr="00E76F19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2BB4">
        <w:rPr>
          <w:rFonts w:ascii="Times New Roman" w:eastAsia="Calibri" w:hAnsi="Times New Roman"/>
          <w:color w:val="000000"/>
          <w:sz w:val="28"/>
          <w:szCs w:val="28"/>
        </w:rPr>
        <w:t>Проект федеральн</w:t>
      </w:r>
      <w:r>
        <w:rPr>
          <w:rFonts w:ascii="Times New Roman" w:eastAsia="Calibri" w:hAnsi="Times New Roman"/>
          <w:color w:val="000000"/>
          <w:sz w:val="28"/>
          <w:szCs w:val="28"/>
        </w:rPr>
        <w:t>ого</w:t>
      </w:r>
      <w:r w:rsidRPr="00842BB4">
        <w:rPr>
          <w:rFonts w:ascii="Times New Roman" w:eastAsia="Calibr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а </w:t>
      </w:r>
      <w:r w:rsidRPr="00842BB4">
        <w:rPr>
          <w:rFonts w:ascii="Times New Roman" w:eastAsia="Calibri" w:hAnsi="Times New Roman"/>
          <w:color w:val="000000"/>
          <w:sz w:val="28"/>
          <w:szCs w:val="28"/>
        </w:rPr>
        <w:t>«О внесении изменения в статью 1 Федерального закона «Об основах туристской деятельности в Российской Федерации»</w:t>
      </w:r>
      <w:r w:rsidR="00E76F19">
        <w:rPr>
          <w:rFonts w:ascii="Times New Roman" w:eastAsia="Calibri" w:hAnsi="Times New Roman"/>
          <w:color w:val="000000"/>
          <w:sz w:val="28"/>
          <w:szCs w:val="28"/>
        </w:rPr>
        <w:t xml:space="preserve"> (далее – Проект)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21199">
        <w:rPr>
          <w:rFonts w:ascii="Times New Roman" w:hAnsi="Times New Roman"/>
          <w:color w:val="000000"/>
          <w:sz w:val="28"/>
          <w:szCs w:val="28"/>
        </w:rPr>
        <w:t>направлен на экспертизу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199">
        <w:rPr>
          <w:rFonts w:ascii="Times New Roman" w:hAnsi="Times New Roman"/>
          <w:color w:val="000000"/>
          <w:sz w:val="28"/>
          <w:szCs w:val="28"/>
        </w:rPr>
        <w:t>Совет при Президенте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199">
        <w:rPr>
          <w:rFonts w:ascii="Times New Roman" w:hAnsi="Times New Roman"/>
          <w:color w:val="000000"/>
          <w:sz w:val="28"/>
          <w:szCs w:val="28"/>
        </w:rPr>
        <w:t>Федерации по кодификации и совершенствованию гражданского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color w:val="000000"/>
          <w:sz w:val="28"/>
          <w:szCs w:val="28"/>
        </w:rPr>
        <w:t>Министерством экономического развития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 (письмо от </w:t>
      </w:r>
      <w:r>
        <w:rPr>
          <w:rFonts w:ascii="Times New Roman" w:hAnsi="Times New Roman"/>
          <w:color w:val="000000"/>
          <w:sz w:val="28"/>
          <w:szCs w:val="28"/>
        </w:rPr>
        <w:t>20 апреля 2024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13900-АХ/Д08и</w:t>
      </w:r>
      <w:r w:rsidRPr="00D21199">
        <w:rPr>
          <w:rFonts w:ascii="Times New Roman" w:hAnsi="Times New Roman"/>
          <w:color w:val="000000"/>
          <w:sz w:val="28"/>
          <w:szCs w:val="28"/>
        </w:rPr>
        <w:t>).</w:t>
      </w:r>
      <w:r w:rsidR="00E76F19" w:rsidRPr="00E7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Вместе с Проектом </w:t>
      </w:r>
      <w:r w:rsidR="00E76F19" w:rsidRPr="00D21199">
        <w:rPr>
          <w:rFonts w:ascii="Times New Roman" w:hAnsi="Times New Roman"/>
          <w:color w:val="000000"/>
          <w:sz w:val="28"/>
          <w:szCs w:val="28"/>
        </w:rPr>
        <w:t>в</w:t>
      </w:r>
      <w:r w:rsidR="00E76F19">
        <w:rPr>
          <w:rFonts w:ascii="Times New Roman" w:hAnsi="Times New Roman"/>
          <w:color w:val="000000"/>
          <w:sz w:val="28"/>
          <w:szCs w:val="28"/>
        </w:rPr>
        <w:t> </w:t>
      </w:r>
      <w:r w:rsidR="00E76F19" w:rsidRPr="00D21199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был также направлен </w:t>
      </w:r>
      <w:r w:rsidR="00E76F19" w:rsidRPr="00E4362C">
        <w:rPr>
          <w:rFonts w:ascii="Times New Roman" w:hAnsi="Times New Roman"/>
          <w:color w:val="000000"/>
          <w:sz w:val="28"/>
          <w:szCs w:val="28"/>
        </w:rPr>
        <w:t>Проект федерального закона «О внесении изменения в статью 782 части второй Гражданского кодекса Российской Федерации»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30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76F19">
        <w:rPr>
          <w:rFonts w:ascii="Times New Roman" w:hAnsi="Times New Roman"/>
          <w:color w:val="000000"/>
          <w:sz w:val="28"/>
          <w:szCs w:val="28"/>
        </w:rPr>
        <w:t>котор</w:t>
      </w:r>
      <w:r w:rsidR="0099301C">
        <w:rPr>
          <w:rFonts w:ascii="Times New Roman" w:hAnsi="Times New Roman"/>
          <w:color w:val="000000"/>
          <w:sz w:val="28"/>
          <w:szCs w:val="28"/>
        </w:rPr>
        <w:t>ому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99301C">
        <w:rPr>
          <w:rFonts w:ascii="Times New Roman" w:hAnsi="Times New Roman"/>
          <w:color w:val="000000"/>
          <w:sz w:val="28"/>
          <w:szCs w:val="28"/>
        </w:rPr>
        <w:t>о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01C">
        <w:rPr>
          <w:rFonts w:ascii="Times New Roman" w:hAnsi="Times New Roman"/>
          <w:color w:val="000000"/>
          <w:sz w:val="28"/>
          <w:szCs w:val="28"/>
        </w:rPr>
        <w:t>дано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 отдельно</w:t>
      </w:r>
      <w:r w:rsidR="0099301C">
        <w:rPr>
          <w:rFonts w:ascii="Times New Roman" w:hAnsi="Times New Roman"/>
          <w:color w:val="000000"/>
          <w:sz w:val="28"/>
          <w:szCs w:val="28"/>
        </w:rPr>
        <w:t>е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 заключени</w:t>
      </w:r>
      <w:r w:rsidR="0099301C">
        <w:rPr>
          <w:rFonts w:ascii="Times New Roman" w:hAnsi="Times New Roman"/>
          <w:color w:val="000000"/>
          <w:sz w:val="28"/>
          <w:szCs w:val="28"/>
        </w:rPr>
        <w:t>е</w:t>
      </w:r>
      <w:r w:rsidR="00E76F1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199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предлагает прямо указать в </w:t>
      </w:r>
      <w:r w:rsidRPr="00D21199">
        <w:rPr>
          <w:rFonts w:ascii="Times New Roman" w:hAnsi="Times New Roman"/>
          <w:color w:val="000000"/>
          <w:sz w:val="28"/>
          <w:szCs w:val="28"/>
        </w:rPr>
        <w:t>Федерально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24 ноября 1996 года № 132-ФЗ</w:t>
      </w:r>
      <w:r w:rsidRPr="00D21199">
        <w:rPr>
          <w:rFonts w:ascii="Times New Roman" w:hAnsi="Times New Roman"/>
          <w:color w:val="000000"/>
          <w:sz w:val="28"/>
          <w:szCs w:val="28"/>
        </w:rPr>
        <w:t xml:space="preserve"> «Об основах туристской деятельности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(далее – Закон о туристской деятельности), что </w:t>
      </w:r>
      <w:r w:rsidRPr="00274BBD">
        <w:rPr>
          <w:rFonts w:ascii="Times New Roman" w:hAnsi="Times New Roman"/>
          <w:color w:val="000000"/>
          <w:sz w:val="28"/>
          <w:szCs w:val="28"/>
        </w:rPr>
        <w:t xml:space="preserve">при отказе от бронирования или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74BBD">
        <w:rPr>
          <w:rFonts w:ascii="Times New Roman" w:hAnsi="Times New Roman"/>
          <w:color w:val="000000"/>
          <w:sz w:val="28"/>
          <w:szCs w:val="28"/>
        </w:rPr>
        <w:t>незаезде</w:t>
      </w:r>
      <w:proofErr w:type="spellEnd"/>
      <w:r w:rsidRPr="00274BBD">
        <w:rPr>
          <w:rFonts w:ascii="Times New Roman" w:hAnsi="Times New Roman"/>
          <w:color w:val="000000"/>
          <w:sz w:val="28"/>
          <w:szCs w:val="28"/>
        </w:rPr>
        <w:t xml:space="preserve"> потребителя в средство размещения</w:t>
      </w:r>
      <w:r w:rsidR="004870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исполнитель вправе оставить за собой плату в полном объеме, если это предусмотрено договором. В случае если исполнитель заключает договоры с такого рода условием о бронировании, он должен обеспечить заказчику возможность заключить договор на условиях, которые предусматривают возможность отказа заказчика от договора без потери платы</w:t>
      </w:r>
      <w:r w:rsidRPr="00274BBD">
        <w:t xml:space="preserve"> </w:t>
      </w:r>
      <w:r w:rsidRPr="00274BBD">
        <w:rPr>
          <w:rFonts w:ascii="Times New Roman" w:hAnsi="Times New Roman"/>
          <w:color w:val="000000"/>
          <w:sz w:val="28"/>
          <w:szCs w:val="28"/>
        </w:rPr>
        <w:t>за предоставление гостиничных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могут быть высказаны следующие замечания.</w:t>
      </w:r>
    </w:p>
    <w:p w:rsidR="00842BB4" w:rsidRP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2BB4">
        <w:rPr>
          <w:rFonts w:ascii="Times New Roman" w:hAnsi="Times New Roman"/>
          <w:color w:val="000000"/>
          <w:sz w:val="28"/>
          <w:szCs w:val="28"/>
        </w:rPr>
        <w:t xml:space="preserve">Проект предполагает правомерность установления в отношениях между исполнителем гостиничных услуг и заказчиком (потребителем) правила </w:t>
      </w:r>
      <w:r w:rsidRPr="00842BB4">
        <w:rPr>
          <w:rFonts w:ascii="Times New Roman" w:hAnsi="Times New Roman"/>
          <w:color w:val="000000"/>
          <w:sz w:val="28"/>
          <w:szCs w:val="28"/>
          <w:lang w:val="en-US"/>
        </w:rPr>
        <w:t>take</w:t>
      </w:r>
      <w:r w:rsidRPr="00842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BB4">
        <w:rPr>
          <w:rFonts w:ascii="Times New Roman" w:hAnsi="Times New Roman"/>
          <w:color w:val="000000"/>
          <w:sz w:val="28"/>
          <w:szCs w:val="28"/>
          <w:lang w:val="en-US"/>
        </w:rPr>
        <w:t>or</w:t>
      </w:r>
      <w:r w:rsidRPr="00842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BB4">
        <w:rPr>
          <w:rFonts w:ascii="Times New Roman" w:hAnsi="Times New Roman"/>
          <w:color w:val="000000"/>
          <w:sz w:val="28"/>
          <w:szCs w:val="28"/>
          <w:lang w:val="en-US"/>
        </w:rPr>
        <w:t>pay</w:t>
      </w:r>
      <w:r w:rsidRPr="00842BB4">
        <w:rPr>
          <w:rFonts w:ascii="Times New Roman" w:hAnsi="Times New Roman"/>
          <w:color w:val="000000"/>
          <w:sz w:val="28"/>
          <w:szCs w:val="28"/>
        </w:rPr>
        <w:t xml:space="preserve"> (бери или плати). Это означает перенесение </w:t>
      </w:r>
      <w:r w:rsidRPr="00842BB4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предпринимательского риска исполнителя гостиничных услуг на заказчика (потребителя), который зачастую отменяет бронирование по причинам, не зависящим от его поведения (болезнь, служебные обстоятельства и т.п.). Кроме того, это позволит исполнителю гостиничных услуг дважды получить плату за тот же период, если номер, от бронирования которого отказался заказчик (потребитель), будет сдан другому лицу.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Проект вызывает существенные замечания в части допустимости платы за отказ от договора в размере всей стоимости гостиничных услуг (стоимости всех дней проживания). </w:t>
      </w:r>
    </w:p>
    <w:p w:rsidR="00842BB4" w:rsidRPr="00E65C7B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пункту 1 статьи 2 Г</w:t>
      </w:r>
      <w:r w:rsidR="00A572FA">
        <w:rPr>
          <w:rFonts w:ascii="Times New Roman" w:hAnsi="Times New Roman"/>
          <w:color w:val="000000"/>
          <w:sz w:val="28"/>
          <w:szCs w:val="28"/>
        </w:rPr>
        <w:t>ражданского 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A572FA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="00A572FA">
        <w:rPr>
          <w:rFonts w:ascii="Times New Roman" w:hAnsi="Times New Roman"/>
          <w:color w:val="000000"/>
          <w:sz w:val="28"/>
          <w:szCs w:val="28"/>
        </w:rPr>
        <w:t xml:space="preserve">едерации (далее </w:t>
      </w:r>
      <w:r w:rsidR="00A572FA">
        <w:rPr>
          <w:rFonts w:ascii="Times New Roman" w:eastAsia="Calibri" w:hAnsi="Times New Roman"/>
          <w:color w:val="000000"/>
          <w:sz w:val="28"/>
          <w:szCs w:val="28"/>
        </w:rPr>
        <w:t>– ГК РФ)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предпринимательская деятельность </w:t>
      </w:r>
      <w:r w:rsidRPr="00EB6E83">
        <w:rPr>
          <w:rFonts w:ascii="Times New Roman" w:hAnsi="Times New Roman"/>
          <w:color w:val="000000"/>
          <w:sz w:val="28"/>
          <w:szCs w:val="28"/>
        </w:rPr>
        <w:t>осуществляется на свой риск</w:t>
      </w:r>
      <w:r>
        <w:rPr>
          <w:rFonts w:ascii="Times New Roman" w:hAnsi="Times New Roman"/>
          <w:color w:val="000000"/>
          <w:sz w:val="28"/>
          <w:szCs w:val="28"/>
        </w:rPr>
        <w:t xml:space="preserve">. В силу пункта 3 статьи 310 ГК РФ установление заранее условия о выплате определенной денежной суммы за правомерный отказ от договора допускается лишь в связи с обязательством, обе стороны которого осуществляют предпринимательскую деятельность. Кроме того, как разъяснено в пункте 16 </w:t>
      </w:r>
      <w:r w:rsidRPr="00E65C7B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Пленума Верховного Суда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E65C7B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от 22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E65C7B">
        <w:rPr>
          <w:rFonts w:ascii="Times New Roman" w:hAnsi="Times New Roman"/>
          <w:color w:val="000000"/>
          <w:sz w:val="28"/>
          <w:szCs w:val="28"/>
        </w:rPr>
        <w:t>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54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65C7B">
        <w:rPr>
          <w:rFonts w:ascii="Times New Roman" w:hAnsi="Times New Roman"/>
          <w:color w:val="000000"/>
          <w:sz w:val="28"/>
          <w:szCs w:val="28"/>
        </w:rPr>
        <w:t>О некоторых вопросах применения общих положений Гражданского кодекса Российской Федерации об обязательствах и их исполнении</w:t>
      </w:r>
      <w:r>
        <w:rPr>
          <w:rFonts w:ascii="Times New Roman" w:hAnsi="Times New Roman"/>
          <w:color w:val="000000"/>
          <w:sz w:val="28"/>
          <w:szCs w:val="28"/>
        </w:rPr>
        <w:t>», даже в предпринимательских отношениях, «е</w:t>
      </w:r>
      <w:r w:rsidRPr="00E65C7B">
        <w:rPr>
          <w:rFonts w:ascii="Times New Roman" w:hAnsi="Times New Roman"/>
          <w:color w:val="000000"/>
          <w:sz w:val="28"/>
          <w:szCs w:val="28"/>
        </w:rPr>
        <w:t>сли будет доказано очевидное несоответствие размера этой денежной суммы неблагоприятным последствиям, вызванным отказом от исполнения обязательства или изменением его условий, а также заведомо недобросовестное осуществление права требовать ее уплаты в этом размере, то в таком исключительном случае суд вправе отказать в ее взыскании полностью или частично (пункт 2 статьи 10 ГК РФ)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65C7B">
        <w:rPr>
          <w:rFonts w:ascii="Times New Roman" w:hAnsi="Times New Roman"/>
          <w:color w:val="000000"/>
          <w:sz w:val="28"/>
          <w:szCs w:val="28"/>
        </w:rPr>
        <w:t>.</w:t>
      </w:r>
    </w:p>
    <w:p w:rsidR="00842BB4" w:rsidRPr="00786774" w:rsidRDefault="00842BB4" w:rsidP="001B7D70">
      <w:pPr>
        <w:pStyle w:val="a3"/>
        <w:tabs>
          <w:tab w:val="left" w:pos="9214"/>
        </w:tabs>
        <w:spacing w:after="0" w:line="360" w:lineRule="auto"/>
        <w:ind w:left="0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42C7">
        <w:rPr>
          <w:rFonts w:ascii="Times New Roman" w:hAnsi="Times New Roman"/>
          <w:color w:val="000000"/>
          <w:sz w:val="28"/>
          <w:szCs w:val="28"/>
        </w:rPr>
        <w:t xml:space="preserve">Статья 782 ГК РФ содержит существенно важное для заказчика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договоре возмездного оказания услуг право на </w:t>
      </w:r>
      <w:proofErr w:type="spellStart"/>
      <w:r w:rsidRPr="003942C7">
        <w:rPr>
          <w:rFonts w:ascii="Times New Roman" w:hAnsi="Times New Roman"/>
          <w:color w:val="000000"/>
          <w:sz w:val="28"/>
          <w:szCs w:val="28"/>
        </w:rPr>
        <w:t>безмотивный</w:t>
      </w:r>
      <w:proofErr w:type="spellEnd"/>
      <w:r w:rsidRPr="003942C7">
        <w:rPr>
          <w:rFonts w:ascii="Times New Roman" w:hAnsi="Times New Roman"/>
          <w:color w:val="000000"/>
          <w:sz w:val="28"/>
          <w:szCs w:val="28"/>
        </w:rPr>
        <w:t xml:space="preserve"> отказ от договора. Баланс интересов заказчика и исполнителя достигается за счет </w:t>
      </w:r>
      <w:r w:rsidRPr="003942C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права исполнителя требовать от заказчика компенсации расходов. Данное правило защищает заказчика от навязывания ему исполнения по договорам возмездного оказания услуг, в которых он утратил интерес. </w:t>
      </w:r>
      <w:r>
        <w:rPr>
          <w:rFonts w:ascii="Times New Roman" w:hAnsi="Times New Roman"/>
          <w:color w:val="000000"/>
          <w:sz w:val="28"/>
          <w:szCs w:val="28"/>
        </w:rPr>
        <w:t>Лишь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стороны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предпринимательских отношений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могут установить конкретную плату за отказ заказчика в своем договоре,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3942C7">
        <w:rPr>
          <w:rFonts w:ascii="Times New Roman" w:hAnsi="Times New Roman"/>
          <w:color w:val="000000"/>
          <w:sz w:val="28"/>
          <w:szCs w:val="28"/>
        </w:rPr>
        <w:t>котор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в свою очередь</w:t>
      </w:r>
      <w:r>
        <w:rPr>
          <w:rFonts w:ascii="Times New Roman" w:hAnsi="Times New Roman"/>
          <w:color w:val="000000"/>
          <w:sz w:val="28"/>
          <w:szCs w:val="28"/>
        </w:rPr>
        <w:t>, как следует из разъяснений Пленума Верховного Суда Российской Федерации,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долж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соответствовать принципу добросовестности. Указанный принцип в данном случае защищает подход к гражданско-правовой ответственности как к компенсационной по своей функции и не допускает обогащения исполнителя в связи с отказом заказчика от договора. Плата за отказ от договора не может существенно превышать расходы исполнителя, которые тот понес в связи с прекращением договора.</w:t>
      </w:r>
      <w:r w:rsidRPr="00786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Также правила расчета платы должны учитывать те выгоды, которые исполнитель получает в связи с расторжением (например, возможность сдать номер дороже новому постояльцу).  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Даже в случае допущения удержания исполнителем внесенной предоплаты (аванса) на основании закона должен быть проработан вопрос о возврате предоплаты в </w:t>
      </w:r>
      <w:r w:rsidRPr="00786774">
        <w:rPr>
          <w:rFonts w:ascii="Times New Roman" w:hAnsi="Times New Roman"/>
          <w:color w:val="000000"/>
          <w:sz w:val="28"/>
          <w:szCs w:val="28"/>
        </w:rPr>
        <w:t xml:space="preserve">тех случаях, когда из-за случайного для заказчика и исполнителя обстоятельства заказчик утрачивает интерес в исполнении и данное обстоятельство признается значительным. 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6774">
        <w:rPr>
          <w:rFonts w:ascii="Times New Roman" w:hAnsi="Times New Roman"/>
          <w:color w:val="000000"/>
          <w:sz w:val="28"/>
          <w:szCs w:val="28"/>
        </w:rPr>
        <w:t>Примерами могут быть обстоятельства, перечисленные в пункте 2 статьи 108 Воздушного кодекса Российской Федерации (болезнь пассажира или члена его семьи, близкого родственника, совместно следующего с ним на воздушном судне и т.д.).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пассажир </w:t>
      </w:r>
      <w:r w:rsidRPr="0072705B">
        <w:rPr>
          <w:rFonts w:ascii="Times New Roman" w:hAnsi="Times New Roman"/>
          <w:color w:val="000000"/>
          <w:sz w:val="28"/>
          <w:szCs w:val="28"/>
        </w:rPr>
        <w:t>уведом</w:t>
      </w:r>
      <w:r>
        <w:rPr>
          <w:rFonts w:ascii="Times New Roman" w:hAnsi="Times New Roman"/>
          <w:color w:val="000000"/>
          <w:sz w:val="28"/>
          <w:szCs w:val="28"/>
        </w:rPr>
        <w:t>ил об этих обстоятельствах</w:t>
      </w:r>
      <w:r w:rsidRPr="0072705B">
        <w:rPr>
          <w:rFonts w:ascii="Times New Roman" w:hAnsi="Times New Roman"/>
          <w:color w:val="000000"/>
          <w:sz w:val="28"/>
          <w:szCs w:val="28"/>
        </w:rPr>
        <w:t xml:space="preserve"> перевозчика </w:t>
      </w:r>
      <w:r w:rsidRPr="00FD7F87">
        <w:rPr>
          <w:rFonts w:ascii="Times New Roman" w:hAnsi="Times New Roman"/>
          <w:i/>
          <w:color w:val="000000"/>
          <w:sz w:val="28"/>
          <w:szCs w:val="28"/>
        </w:rPr>
        <w:t>до окончания установленного в соответствии с федеральными авиационными правилами времени регистрации</w:t>
      </w:r>
      <w:r w:rsidRPr="0072705B">
        <w:rPr>
          <w:rFonts w:ascii="Times New Roman" w:hAnsi="Times New Roman"/>
          <w:color w:val="000000"/>
          <w:sz w:val="28"/>
          <w:szCs w:val="28"/>
        </w:rPr>
        <w:t xml:space="preserve"> пассажиров на указанный в билете рейс,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705B">
        <w:rPr>
          <w:rFonts w:ascii="Times New Roman" w:hAnsi="Times New Roman"/>
          <w:color w:val="000000"/>
          <w:sz w:val="28"/>
          <w:szCs w:val="28"/>
        </w:rPr>
        <w:t>пассажиру возвращается уплаченная за воздушную перевозку провозная плата.</w:t>
      </w:r>
      <w:r>
        <w:rPr>
          <w:rFonts w:ascii="Times New Roman" w:hAnsi="Times New Roman"/>
          <w:color w:val="000000"/>
          <w:sz w:val="28"/>
          <w:szCs w:val="28"/>
        </w:rPr>
        <w:t xml:space="preserve"> Иными словами, в аналогичной ситуации законодатель учитывает, что 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исполнителя по договору об оказании услуг имеется возможность оказать на освободившемся месте эту же услугу другому клиенту.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заказчика (потребителя) гостиничных услуг во всяком случае должна быть предоставлена возможность требовать возврата предоплаты (аванса) полностью или в части, если отказ от бронирования привел к меньшим потерям исполнителя, чем аванс (предоплата), или исполнитель вообще не понес таких потерь (номер был сдан иному лицу) либо имел реальную возможность предоставить эту услугу иному лицу в связи с высвобождением номера (был предупрежден заказчиком об отмене бронирования за некоторое время до заезда, достаточное для поиска иного заказчика). В то же время Проект не содержит решения проблемы, которая возникает в связи с тем, что заказчику, как правило, недоступна информация о размере понесенных исполнителем расходов. 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Закон о туристской деятельности должен предусматривать основы для расчета справедливой суммы, которую впоследствии можно детализировать в подзаконных актах. </w:t>
      </w:r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7F87">
        <w:rPr>
          <w:rFonts w:ascii="Times New Roman" w:hAnsi="Times New Roman"/>
          <w:color w:val="000000"/>
          <w:sz w:val="28"/>
          <w:szCs w:val="28"/>
        </w:rPr>
        <w:t xml:space="preserve">Представляется противоречащей компенсационным началам гражданского права и принципу добросовестности ситуация, в которой исполнитель удерживает плату за </w:t>
      </w:r>
      <w:r>
        <w:rPr>
          <w:rFonts w:ascii="Times New Roman" w:hAnsi="Times New Roman"/>
          <w:color w:val="000000"/>
          <w:sz w:val="28"/>
          <w:szCs w:val="28"/>
        </w:rPr>
        <w:t>несколько дней проживания</w:t>
      </w:r>
      <w:r w:rsidRPr="00FD7F87">
        <w:rPr>
          <w:rFonts w:ascii="Times New Roman" w:hAnsi="Times New Roman"/>
          <w:color w:val="000000"/>
          <w:sz w:val="28"/>
          <w:szCs w:val="28"/>
        </w:rPr>
        <w:t xml:space="preserve">, при этом имеет возможность сдать освободившийся номер иным лицам. </w:t>
      </w:r>
    </w:p>
    <w:p w:rsidR="0043365D" w:rsidRDefault="0043365D" w:rsidP="001B7D70">
      <w:pPr>
        <w:tabs>
          <w:tab w:val="left" w:pos="9214"/>
        </w:tabs>
        <w:spacing w:after="0" w:line="360" w:lineRule="auto"/>
        <w:ind w:right="424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</w:p>
    <w:p w:rsidR="00842BB4" w:rsidRDefault="00842BB4" w:rsidP="001B7D70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Вывод</w:t>
      </w:r>
      <w:r>
        <w:rPr>
          <w:rFonts w:ascii="Times New Roman" w:hAnsi="Times New Roman"/>
          <w:color w:val="000000"/>
          <w:sz w:val="28"/>
          <w:szCs w:val="28"/>
        </w:rPr>
        <w:t>: проект федерального закона</w:t>
      </w:r>
      <w:r w:rsidRPr="0010567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статью 1 Федерального закона «Об основах туристской деятельности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быть поддержан при условии его доработки.</w:t>
      </w:r>
    </w:p>
    <w:p w:rsidR="00C925EB" w:rsidRDefault="00C925EB" w:rsidP="001B7D70">
      <w:pPr>
        <w:tabs>
          <w:tab w:val="left" w:pos="9214"/>
        </w:tabs>
        <w:spacing w:after="0" w:line="360" w:lineRule="auto"/>
        <w:ind w:right="4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842BB4" w:rsidTr="004605B3">
        <w:tc>
          <w:tcPr>
            <w:tcW w:w="4672" w:type="dxa"/>
          </w:tcPr>
          <w:p w:rsidR="00842BB4" w:rsidRDefault="00842BB4" w:rsidP="00DC279A">
            <w:pPr>
              <w:tabs>
                <w:tab w:val="left" w:pos="9214"/>
              </w:tabs>
              <w:spacing w:after="0" w:line="360" w:lineRule="auto"/>
              <w:ind w:right="4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</w:t>
            </w:r>
          </w:p>
          <w:p w:rsidR="00842BB4" w:rsidRDefault="00842BB4" w:rsidP="001B7D70">
            <w:pPr>
              <w:tabs>
                <w:tab w:val="left" w:pos="9214"/>
              </w:tabs>
              <w:spacing w:after="0" w:line="360" w:lineRule="auto"/>
              <w:ind w:right="4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</w:tcPr>
          <w:p w:rsidR="00842BB4" w:rsidRDefault="00842BB4" w:rsidP="001B7D70">
            <w:pPr>
              <w:tabs>
                <w:tab w:val="left" w:pos="9214"/>
              </w:tabs>
              <w:spacing w:after="0" w:line="360" w:lineRule="auto"/>
              <w:ind w:right="42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П.В. Крашенинников</w:t>
            </w:r>
          </w:p>
        </w:tc>
      </w:tr>
    </w:tbl>
    <w:p w:rsidR="00842BB4" w:rsidRDefault="00842BB4" w:rsidP="001B7D70">
      <w:pPr>
        <w:tabs>
          <w:tab w:val="left" w:pos="9214"/>
        </w:tabs>
        <w:spacing w:after="0" w:line="360" w:lineRule="auto"/>
        <w:ind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2BB4" w:rsidRDefault="00842BB4" w:rsidP="001B7D70">
      <w:pPr>
        <w:tabs>
          <w:tab w:val="left" w:pos="9214"/>
        </w:tabs>
        <w:ind w:right="424" w:firstLine="708"/>
        <w:jc w:val="both"/>
      </w:pPr>
      <w:bookmarkStart w:id="0" w:name="_GoBack"/>
      <w:bookmarkEnd w:id="0"/>
    </w:p>
    <w:sectPr w:rsidR="00842BB4" w:rsidSect="0043365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FF" w:rsidRDefault="00D01FFF" w:rsidP="00A572FA">
      <w:pPr>
        <w:spacing w:after="0" w:line="240" w:lineRule="auto"/>
      </w:pPr>
      <w:r>
        <w:separator/>
      </w:r>
    </w:p>
  </w:endnote>
  <w:endnote w:type="continuationSeparator" w:id="0">
    <w:p w:rsidR="00D01FFF" w:rsidRDefault="00D01FFF" w:rsidP="00A5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FF" w:rsidRDefault="00D01FFF" w:rsidP="00A572FA">
      <w:pPr>
        <w:spacing w:after="0" w:line="240" w:lineRule="auto"/>
      </w:pPr>
      <w:r>
        <w:separator/>
      </w:r>
    </w:p>
  </w:footnote>
  <w:footnote w:type="continuationSeparator" w:id="0">
    <w:p w:rsidR="00D01FFF" w:rsidRDefault="00D01FFF" w:rsidP="00A5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1654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72FA" w:rsidRPr="001B7D70" w:rsidRDefault="00A572FA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1B7D70">
          <w:rPr>
            <w:rFonts w:ascii="Times New Roman" w:hAnsi="Times New Roman"/>
            <w:sz w:val="28"/>
            <w:szCs w:val="28"/>
          </w:rPr>
          <w:fldChar w:fldCharType="begin"/>
        </w:r>
        <w:r w:rsidRPr="001B7D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B7D70">
          <w:rPr>
            <w:rFonts w:ascii="Times New Roman" w:hAnsi="Times New Roman"/>
            <w:sz w:val="28"/>
            <w:szCs w:val="28"/>
          </w:rPr>
          <w:fldChar w:fldCharType="separate"/>
        </w:r>
        <w:r w:rsidR="0099441C">
          <w:rPr>
            <w:rFonts w:ascii="Times New Roman" w:hAnsi="Times New Roman"/>
            <w:noProof/>
            <w:sz w:val="28"/>
            <w:szCs w:val="28"/>
          </w:rPr>
          <w:t>2</w:t>
        </w:r>
        <w:r w:rsidRPr="001B7D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72FA" w:rsidRDefault="00A572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3818"/>
    <w:multiLevelType w:val="hybridMultilevel"/>
    <w:tmpl w:val="9AC02862"/>
    <w:lvl w:ilvl="0" w:tplc="D3B8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64F57"/>
    <w:multiLevelType w:val="hybridMultilevel"/>
    <w:tmpl w:val="088C2A1A"/>
    <w:lvl w:ilvl="0" w:tplc="3014C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4"/>
    <w:rsid w:val="001B7D70"/>
    <w:rsid w:val="002072ED"/>
    <w:rsid w:val="00430561"/>
    <w:rsid w:val="0043365D"/>
    <w:rsid w:val="00451B15"/>
    <w:rsid w:val="00487076"/>
    <w:rsid w:val="00515900"/>
    <w:rsid w:val="005330E8"/>
    <w:rsid w:val="00694BE5"/>
    <w:rsid w:val="006F4318"/>
    <w:rsid w:val="00762B16"/>
    <w:rsid w:val="00764BFB"/>
    <w:rsid w:val="007C11E0"/>
    <w:rsid w:val="00842BB4"/>
    <w:rsid w:val="00886266"/>
    <w:rsid w:val="0099301C"/>
    <w:rsid w:val="0099441C"/>
    <w:rsid w:val="00A57171"/>
    <w:rsid w:val="00A572FA"/>
    <w:rsid w:val="00A92CD5"/>
    <w:rsid w:val="00A96D29"/>
    <w:rsid w:val="00B71398"/>
    <w:rsid w:val="00B976E8"/>
    <w:rsid w:val="00C925EB"/>
    <w:rsid w:val="00D01FFF"/>
    <w:rsid w:val="00DC279A"/>
    <w:rsid w:val="00E76F19"/>
    <w:rsid w:val="00E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6291A-E721-4D7F-89A9-93C3560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B4"/>
    <w:pPr>
      <w:suppressAutoHyphens/>
      <w:spacing w:after="160" w:line="259" w:lineRule="auto"/>
    </w:pPr>
    <w:rPr>
      <w:rFonts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42BB4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qFormat/>
    <w:rsid w:val="00842BB4"/>
    <w:pPr>
      <w:spacing w:after="0" w:line="3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BB4"/>
    <w:pPr>
      <w:ind w:left="720"/>
      <w:contextualSpacing/>
    </w:pPr>
  </w:style>
  <w:style w:type="table" w:styleId="a4">
    <w:name w:val="Table Grid"/>
    <w:basedOn w:val="a1"/>
    <w:uiPriority w:val="39"/>
    <w:rsid w:val="00842BB4"/>
    <w:pPr>
      <w:suppressAutoHyphens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FA"/>
    <w:rPr>
      <w:rFonts w:ascii="Tahoma" w:hAnsi="Tahoma" w:cs="Tahoma"/>
      <w:kern w:val="0"/>
      <w:sz w:val="16"/>
      <w:szCs w:val="16"/>
      <w14:ligatures w14:val="none"/>
    </w:rPr>
  </w:style>
  <w:style w:type="paragraph" w:styleId="a7">
    <w:name w:val="header"/>
    <w:basedOn w:val="a"/>
    <w:link w:val="a8"/>
    <w:uiPriority w:val="99"/>
    <w:unhideWhenUsed/>
    <w:rsid w:val="00A5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2FA"/>
    <w:rPr>
      <w:rFonts w:cs="Times New Roman"/>
      <w:kern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A5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2FA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Pshenichnikov Maxim</dc:creator>
  <cp:lastModifiedBy>Наталья Новикова</cp:lastModifiedBy>
  <cp:revision>5</cp:revision>
  <cp:lastPrinted>2024-06-10T07:45:00Z</cp:lastPrinted>
  <dcterms:created xsi:type="dcterms:W3CDTF">2024-06-10T10:51:00Z</dcterms:created>
  <dcterms:modified xsi:type="dcterms:W3CDTF">2024-06-10T11:03:00Z</dcterms:modified>
</cp:coreProperties>
</file>